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A56" w:rsidRDefault="00294A56" w:rsidP="00294A56">
      <w:pPr>
        <w:ind w:left="5387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294A56" w:rsidRDefault="00294A56" w:rsidP="00294A56">
      <w:pPr>
        <w:ind w:left="5387"/>
        <w:rPr>
          <w:sz w:val="28"/>
          <w:szCs w:val="28"/>
        </w:rPr>
      </w:pPr>
    </w:p>
    <w:p w:rsidR="00294A56" w:rsidRDefault="00294A56" w:rsidP="00294A56">
      <w:pPr>
        <w:ind w:left="5387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161BCF">
        <w:rPr>
          <w:sz w:val="28"/>
          <w:szCs w:val="28"/>
        </w:rPr>
        <w:t>А</w:t>
      </w:r>
    </w:p>
    <w:p w:rsidR="00294A56" w:rsidRDefault="002625D0" w:rsidP="00294A56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294A56">
        <w:rPr>
          <w:sz w:val="28"/>
          <w:szCs w:val="28"/>
        </w:rPr>
        <w:t xml:space="preserve">администрации </w:t>
      </w:r>
      <w:r w:rsidR="00E8148D">
        <w:rPr>
          <w:sz w:val="28"/>
          <w:szCs w:val="28"/>
        </w:rPr>
        <w:t>Гривенского</w:t>
      </w:r>
      <w:r>
        <w:rPr>
          <w:sz w:val="28"/>
          <w:szCs w:val="28"/>
        </w:rPr>
        <w:t xml:space="preserve"> сельского поселения Калининского</w:t>
      </w:r>
      <w:r w:rsidR="00294A56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294A56">
        <w:rPr>
          <w:sz w:val="28"/>
          <w:szCs w:val="28"/>
        </w:rPr>
        <w:t xml:space="preserve">                             от </w:t>
      </w:r>
      <w:r w:rsidR="001F2548">
        <w:rPr>
          <w:sz w:val="28"/>
          <w:szCs w:val="28"/>
        </w:rPr>
        <w:t xml:space="preserve"> 27.09.2016 г.</w:t>
      </w:r>
      <w:r w:rsidR="00294A56">
        <w:rPr>
          <w:sz w:val="28"/>
          <w:szCs w:val="28"/>
        </w:rPr>
        <w:t xml:space="preserve"> № </w:t>
      </w:r>
      <w:r w:rsidR="001F2548">
        <w:rPr>
          <w:sz w:val="28"/>
          <w:szCs w:val="28"/>
        </w:rPr>
        <w:t>231</w:t>
      </w:r>
      <w:bookmarkStart w:id="0" w:name="_GoBack"/>
      <w:bookmarkEnd w:id="0"/>
    </w:p>
    <w:p w:rsidR="00294A56" w:rsidRDefault="00294A56" w:rsidP="00294A56">
      <w:pPr>
        <w:rPr>
          <w:sz w:val="28"/>
          <w:szCs w:val="28"/>
        </w:rPr>
      </w:pPr>
    </w:p>
    <w:p w:rsidR="00294A56" w:rsidRDefault="00294A56" w:rsidP="00294A56">
      <w:pPr>
        <w:jc w:val="both"/>
        <w:rPr>
          <w:sz w:val="28"/>
          <w:szCs w:val="28"/>
        </w:rPr>
      </w:pPr>
    </w:p>
    <w:p w:rsidR="00294A56" w:rsidRPr="00946276" w:rsidRDefault="00294A56" w:rsidP="00294A56">
      <w:pPr>
        <w:jc w:val="right"/>
        <w:rPr>
          <w:b/>
          <w:sz w:val="28"/>
          <w:szCs w:val="28"/>
        </w:rPr>
      </w:pPr>
    </w:p>
    <w:p w:rsidR="00161BCF" w:rsidRPr="00161BCF" w:rsidRDefault="00161BCF" w:rsidP="00161BC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61BCF">
        <w:rPr>
          <w:b/>
          <w:sz w:val="28"/>
          <w:szCs w:val="28"/>
        </w:rPr>
        <w:t>МЕТОДИКА</w:t>
      </w:r>
    </w:p>
    <w:p w:rsidR="00161BCF" w:rsidRPr="00161BCF" w:rsidRDefault="00161BCF" w:rsidP="00161BC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61BCF">
        <w:rPr>
          <w:b/>
          <w:sz w:val="28"/>
          <w:szCs w:val="28"/>
        </w:rPr>
        <w:t>прогнозирования поступлений по источникам финансирования</w:t>
      </w:r>
    </w:p>
    <w:p w:rsidR="00161BCF" w:rsidRPr="00161BCF" w:rsidRDefault="00161BCF" w:rsidP="00161BC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61BCF">
        <w:rPr>
          <w:b/>
          <w:sz w:val="28"/>
          <w:szCs w:val="28"/>
        </w:rPr>
        <w:t>дефицита бюджета</w:t>
      </w:r>
      <w:r w:rsidR="002625D0">
        <w:rPr>
          <w:b/>
          <w:sz w:val="28"/>
          <w:szCs w:val="28"/>
        </w:rPr>
        <w:t xml:space="preserve"> поселения</w:t>
      </w:r>
      <w:r w:rsidRPr="00161BCF">
        <w:rPr>
          <w:b/>
          <w:sz w:val="28"/>
          <w:szCs w:val="28"/>
        </w:rPr>
        <w:t>, главным администратором которых</w:t>
      </w:r>
    </w:p>
    <w:p w:rsidR="00995C52" w:rsidRPr="00161BCF" w:rsidRDefault="00161BCF" w:rsidP="00161BC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61BCF">
        <w:rPr>
          <w:b/>
          <w:sz w:val="28"/>
          <w:szCs w:val="28"/>
        </w:rPr>
        <w:t xml:space="preserve">является </w:t>
      </w:r>
      <w:r w:rsidR="002625D0">
        <w:rPr>
          <w:b/>
          <w:sz w:val="28"/>
          <w:szCs w:val="28"/>
        </w:rPr>
        <w:t>администрация</w:t>
      </w:r>
      <w:r w:rsidR="00995C52">
        <w:rPr>
          <w:b/>
          <w:sz w:val="28"/>
          <w:szCs w:val="28"/>
        </w:rPr>
        <w:t xml:space="preserve"> </w:t>
      </w:r>
      <w:r w:rsidR="00E8148D">
        <w:rPr>
          <w:b/>
          <w:sz w:val="28"/>
          <w:szCs w:val="28"/>
        </w:rPr>
        <w:t>Гривенского</w:t>
      </w:r>
      <w:r w:rsidR="002625D0">
        <w:rPr>
          <w:b/>
          <w:sz w:val="28"/>
          <w:szCs w:val="28"/>
        </w:rPr>
        <w:t xml:space="preserve"> сельского поселения Калининского</w:t>
      </w:r>
      <w:r w:rsidR="00995C52">
        <w:rPr>
          <w:b/>
          <w:sz w:val="28"/>
          <w:szCs w:val="28"/>
        </w:rPr>
        <w:t xml:space="preserve"> район</w:t>
      </w:r>
      <w:r w:rsidR="002625D0">
        <w:rPr>
          <w:b/>
          <w:sz w:val="28"/>
          <w:szCs w:val="28"/>
        </w:rPr>
        <w:t>а</w:t>
      </w:r>
    </w:p>
    <w:p w:rsidR="00161BCF" w:rsidRPr="00161BCF" w:rsidRDefault="00161BCF" w:rsidP="00161BC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161BCF" w:rsidRPr="00161BCF" w:rsidRDefault="00161BCF" w:rsidP="00161BC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161BCF" w:rsidRPr="00161BCF" w:rsidRDefault="00161BCF" w:rsidP="00161B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61BCF">
        <w:rPr>
          <w:sz w:val="28"/>
          <w:szCs w:val="28"/>
        </w:rPr>
        <w:t>1. Настоящая Методика прогнозирования поступлений по источникам финансирования дефицита бюджета</w:t>
      </w:r>
      <w:r w:rsidR="002625D0">
        <w:rPr>
          <w:sz w:val="28"/>
          <w:szCs w:val="28"/>
        </w:rPr>
        <w:t xml:space="preserve"> поселения</w:t>
      </w:r>
      <w:r w:rsidRPr="00161BCF">
        <w:rPr>
          <w:sz w:val="28"/>
          <w:szCs w:val="28"/>
        </w:rPr>
        <w:t xml:space="preserve">, главным администратором которых является </w:t>
      </w:r>
      <w:r w:rsidR="002625D0">
        <w:rPr>
          <w:sz w:val="28"/>
          <w:szCs w:val="28"/>
        </w:rPr>
        <w:t>администрация</w:t>
      </w:r>
      <w:r w:rsidR="00995C52">
        <w:rPr>
          <w:sz w:val="28"/>
          <w:szCs w:val="28"/>
        </w:rPr>
        <w:t xml:space="preserve"> </w:t>
      </w:r>
      <w:r w:rsidR="00E8148D">
        <w:rPr>
          <w:sz w:val="28"/>
          <w:szCs w:val="28"/>
        </w:rPr>
        <w:t>Гривенского</w:t>
      </w:r>
      <w:r w:rsidR="002625D0">
        <w:rPr>
          <w:sz w:val="28"/>
          <w:szCs w:val="28"/>
        </w:rPr>
        <w:t xml:space="preserve"> сельского поселения Калининского</w:t>
      </w:r>
      <w:r w:rsidR="00995C52">
        <w:rPr>
          <w:sz w:val="28"/>
          <w:szCs w:val="28"/>
        </w:rPr>
        <w:t xml:space="preserve"> район</w:t>
      </w:r>
      <w:r w:rsidR="002625D0">
        <w:rPr>
          <w:sz w:val="28"/>
          <w:szCs w:val="28"/>
        </w:rPr>
        <w:t>а</w:t>
      </w:r>
      <w:r w:rsidRPr="00161BCF">
        <w:rPr>
          <w:sz w:val="28"/>
          <w:szCs w:val="28"/>
        </w:rPr>
        <w:t>, (далее – Методика) определяет порядок расчета прогноза поступлений по источникам финансирования дефицита  бюджета</w:t>
      </w:r>
      <w:r w:rsidR="002625D0">
        <w:rPr>
          <w:sz w:val="28"/>
          <w:szCs w:val="28"/>
        </w:rPr>
        <w:t xml:space="preserve"> поселения</w:t>
      </w:r>
      <w:r w:rsidRPr="00161BCF">
        <w:rPr>
          <w:sz w:val="28"/>
          <w:szCs w:val="28"/>
        </w:rPr>
        <w:t xml:space="preserve">, главным администратором которых является </w:t>
      </w:r>
      <w:r w:rsidR="002625D0">
        <w:rPr>
          <w:sz w:val="28"/>
          <w:szCs w:val="28"/>
        </w:rPr>
        <w:t xml:space="preserve">администрация </w:t>
      </w:r>
      <w:r w:rsidR="00E8148D">
        <w:rPr>
          <w:sz w:val="28"/>
          <w:szCs w:val="28"/>
        </w:rPr>
        <w:t>Гривенского</w:t>
      </w:r>
      <w:r w:rsidR="002625D0">
        <w:rPr>
          <w:sz w:val="28"/>
          <w:szCs w:val="28"/>
        </w:rPr>
        <w:t xml:space="preserve"> сельского поселения Калининского района</w:t>
      </w:r>
      <w:r w:rsidR="002625D0" w:rsidRPr="00161BCF">
        <w:rPr>
          <w:sz w:val="28"/>
          <w:szCs w:val="28"/>
        </w:rPr>
        <w:t xml:space="preserve"> </w:t>
      </w:r>
      <w:r w:rsidRPr="00161BCF">
        <w:rPr>
          <w:sz w:val="28"/>
          <w:szCs w:val="28"/>
        </w:rPr>
        <w:t xml:space="preserve">(далее – </w:t>
      </w:r>
      <w:r w:rsidR="002625D0">
        <w:rPr>
          <w:sz w:val="28"/>
          <w:szCs w:val="28"/>
        </w:rPr>
        <w:t>администрация</w:t>
      </w:r>
      <w:r w:rsidRPr="00161BCF">
        <w:rPr>
          <w:sz w:val="28"/>
          <w:szCs w:val="28"/>
        </w:rPr>
        <w:t>).</w:t>
      </w:r>
    </w:p>
    <w:p w:rsidR="00161BCF" w:rsidRPr="00161BCF" w:rsidRDefault="00161BCF" w:rsidP="00161B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61BCF">
        <w:rPr>
          <w:sz w:val="28"/>
          <w:szCs w:val="28"/>
        </w:rPr>
        <w:t>2. Перечень поступлений по источникам финансирования дефицита  бюджета</w:t>
      </w:r>
      <w:r w:rsidR="002625D0">
        <w:rPr>
          <w:sz w:val="28"/>
          <w:szCs w:val="28"/>
        </w:rPr>
        <w:t xml:space="preserve"> поселения</w:t>
      </w:r>
      <w:r w:rsidRPr="00161BCF">
        <w:rPr>
          <w:sz w:val="28"/>
          <w:szCs w:val="28"/>
        </w:rPr>
        <w:t xml:space="preserve">, в отношении которых </w:t>
      </w:r>
      <w:r w:rsidR="002625D0">
        <w:rPr>
          <w:sz w:val="28"/>
          <w:szCs w:val="28"/>
        </w:rPr>
        <w:t>администрация</w:t>
      </w:r>
      <w:r w:rsidRPr="00161BCF">
        <w:rPr>
          <w:sz w:val="28"/>
          <w:szCs w:val="28"/>
        </w:rPr>
        <w:t xml:space="preserve"> выполняет бюджетные полномочия главного администратора источников финансирования дефицита бюджета</w:t>
      </w:r>
      <w:r w:rsidR="002625D0">
        <w:rPr>
          <w:sz w:val="28"/>
          <w:szCs w:val="28"/>
        </w:rPr>
        <w:t xml:space="preserve"> поселения</w:t>
      </w:r>
      <w:r w:rsidRPr="00161BCF">
        <w:rPr>
          <w:sz w:val="28"/>
          <w:szCs w:val="28"/>
        </w:rPr>
        <w:t>:</w:t>
      </w:r>
    </w:p>
    <w:p w:rsidR="00161BCF" w:rsidRPr="00161BCF" w:rsidRDefault="00161BCF" w:rsidP="00161BCF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744"/>
        <w:gridCol w:w="5993"/>
      </w:tblGrid>
      <w:tr w:rsidR="00161BCF" w:rsidRPr="00161BCF" w:rsidTr="00161BCF">
        <w:tc>
          <w:tcPr>
            <w:tcW w:w="3744" w:type="dxa"/>
            <w:vAlign w:val="center"/>
          </w:tcPr>
          <w:p w:rsidR="00161BCF" w:rsidRPr="00161BCF" w:rsidRDefault="00161BCF" w:rsidP="00161BCF">
            <w:pPr>
              <w:jc w:val="center"/>
            </w:pPr>
            <w:r w:rsidRPr="00161BCF">
              <w:t>Код бюджетной классификации Российской Федерации источников финансирования дефицита краевого бюджета</w:t>
            </w:r>
          </w:p>
        </w:tc>
        <w:tc>
          <w:tcPr>
            <w:tcW w:w="5993" w:type="dxa"/>
            <w:vAlign w:val="center"/>
          </w:tcPr>
          <w:p w:rsidR="00161BCF" w:rsidRPr="00161BCF" w:rsidRDefault="00161BCF" w:rsidP="00161BCF">
            <w:pPr>
              <w:jc w:val="center"/>
            </w:pPr>
            <w:r w:rsidRPr="00161BCF">
              <w:t>Наименование</w:t>
            </w:r>
          </w:p>
        </w:tc>
      </w:tr>
    </w:tbl>
    <w:p w:rsidR="00161BCF" w:rsidRPr="00161BCF" w:rsidRDefault="00161BCF" w:rsidP="00161BCF">
      <w:pPr>
        <w:widowControl w:val="0"/>
        <w:autoSpaceDE w:val="0"/>
        <w:autoSpaceDN w:val="0"/>
        <w:ind w:firstLine="709"/>
        <w:jc w:val="both"/>
        <w:rPr>
          <w:sz w:val="4"/>
          <w:szCs w:val="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744"/>
        <w:gridCol w:w="5993"/>
      </w:tblGrid>
      <w:tr w:rsidR="00161BCF" w:rsidRPr="00161BCF" w:rsidTr="00161BCF">
        <w:trPr>
          <w:tblHeader/>
        </w:trPr>
        <w:tc>
          <w:tcPr>
            <w:tcW w:w="3744" w:type="dxa"/>
            <w:vAlign w:val="center"/>
          </w:tcPr>
          <w:p w:rsidR="00161BCF" w:rsidRPr="00161BCF" w:rsidRDefault="00161BCF" w:rsidP="00161BCF">
            <w:pPr>
              <w:jc w:val="center"/>
            </w:pPr>
            <w:r w:rsidRPr="00161BCF">
              <w:t>1</w:t>
            </w:r>
          </w:p>
        </w:tc>
        <w:tc>
          <w:tcPr>
            <w:tcW w:w="5993" w:type="dxa"/>
            <w:vAlign w:val="center"/>
          </w:tcPr>
          <w:p w:rsidR="00161BCF" w:rsidRPr="00161BCF" w:rsidRDefault="00161BCF" w:rsidP="00161BCF">
            <w:pPr>
              <w:jc w:val="center"/>
            </w:pPr>
            <w:r w:rsidRPr="00161BCF">
              <w:t>2</w:t>
            </w:r>
          </w:p>
        </w:tc>
      </w:tr>
      <w:tr w:rsidR="00161BCF" w:rsidRPr="00161BCF" w:rsidTr="00161BCF">
        <w:tc>
          <w:tcPr>
            <w:tcW w:w="3744" w:type="dxa"/>
            <w:vAlign w:val="center"/>
          </w:tcPr>
          <w:p w:rsidR="00161BCF" w:rsidRPr="00161BCF" w:rsidRDefault="00E8130B" w:rsidP="006505E4">
            <w:pPr>
              <w:jc w:val="center"/>
              <w:rPr>
                <w:i/>
                <w:sz w:val="28"/>
                <w:szCs w:val="28"/>
              </w:rPr>
            </w:pPr>
            <w:r>
              <w:t>992</w:t>
            </w:r>
            <w:r w:rsidR="00161BCF" w:rsidRPr="00161BCF">
              <w:t xml:space="preserve"> 01 02 00 00 0</w:t>
            </w:r>
            <w:r w:rsidR="006505E4">
              <w:t>5</w:t>
            </w:r>
            <w:r w:rsidR="00161BCF" w:rsidRPr="00161BCF">
              <w:t xml:space="preserve"> 0000 710</w:t>
            </w:r>
          </w:p>
        </w:tc>
        <w:tc>
          <w:tcPr>
            <w:tcW w:w="5993" w:type="dxa"/>
          </w:tcPr>
          <w:p w:rsidR="00161BCF" w:rsidRPr="00161BCF" w:rsidRDefault="00161BCF" w:rsidP="006505E4">
            <w:pPr>
              <w:widowControl w:val="0"/>
              <w:autoSpaceDE w:val="0"/>
              <w:autoSpaceDN w:val="0"/>
              <w:jc w:val="both"/>
            </w:pPr>
            <w:r w:rsidRPr="00161BCF">
              <w:t xml:space="preserve">Получение кредитов от кредитных организаций бюджетами </w:t>
            </w:r>
            <w:r w:rsidR="006505E4">
              <w:t>муниципальных районов</w:t>
            </w:r>
            <w:r w:rsidRPr="00161BCF">
              <w:t xml:space="preserve"> в валюте Российской Федерации</w:t>
            </w:r>
          </w:p>
        </w:tc>
      </w:tr>
      <w:tr w:rsidR="00161BCF" w:rsidRPr="00161BCF" w:rsidTr="00161BCF">
        <w:tc>
          <w:tcPr>
            <w:tcW w:w="3744" w:type="dxa"/>
            <w:vAlign w:val="center"/>
          </w:tcPr>
          <w:p w:rsidR="00161BCF" w:rsidRPr="00161BCF" w:rsidRDefault="00E8130B" w:rsidP="006505E4">
            <w:pPr>
              <w:jc w:val="center"/>
            </w:pPr>
            <w:r>
              <w:t>992</w:t>
            </w:r>
            <w:r w:rsidR="00161BCF" w:rsidRPr="00161BCF">
              <w:t xml:space="preserve"> 01 03 01 00 0</w:t>
            </w:r>
            <w:r w:rsidR="006505E4">
              <w:t>5</w:t>
            </w:r>
            <w:r w:rsidR="00161BCF" w:rsidRPr="00161BCF">
              <w:t xml:space="preserve"> 0000 710</w:t>
            </w:r>
          </w:p>
        </w:tc>
        <w:tc>
          <w:tcPr>
            <w:tcW w:w="5993" w:type="dxa"/>
          </w:tcPr>
          <w:p w:rsidR="00161BCF" w:rsidRPr="00161BCF" w:rsidRDefault="00161BCF" w:rsidP="006505E4">
            <w:pPr>
              <w:widowControl w:val="0"/>
              <w:autoSpaceDE w:val="0"/>
              <w:autoSpaceDN w:val="0"/>
              <w:jc w:val="both"/>
            </w:pPr>
            <w:r w:rsidRPr="00161BCF">
              <w:t xml:space="preserve">Получение кредитов от других бюджетов бюджетной системы Российской Федерации бюджетами </w:t>
            </w:r>
            <w:r w:rsidR="006505E4">
              <w:t>муниципальных районов</w:t>
            </w:r>
            <w:r w:rsidRPr="00161BCF">
              <w:t xml:space="preserve"> в валюте Российской Федерации</w:t>
            </w:r>
          </w:p>
        </w:tc>
      </w:tr>
    </w:tbl>
    <w:p w:rsidR="00161BCF" w:rsidRPr="00161BCF" w:rsidRDefault="00161BCF" w:rsidP="00161BCF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161BCF" w:rsidRPr="00161BCF" w:rsidRDefault="00161BCF" w:rsidP="00161B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61BCF">
        <w:rPr>
          <w:sz w:val="28"/>
          <w:szCs w:val="28"/>
        </w:rPr>
        <w:t>3. Расчет прогноза поступлений по источникам финансирования дефицита бюджета</w:t>
      </w:r>
      <w:r w:rsidR="002625D0">
        <w:rPr>
          <w:sz w:val="28"/>
          <w:szCs w:val="28"/>
        </w:rPr>
        <w:t xml:space="preserve"> поселения</w:t>
      </w:r>
      <w:r w:rsidRPr="00161BCF">
        <w:rPr>
          <w:sz w:val="28"/>
          <w:szCs w:val="28"/>
        </w:rPr>
        <w:t xml:space="preserve">, главным администратором которых является </w:t>
      </w:r>
      <w:r w:rsidR="002625D0">
        <w:rPr>
          <w:sz w:val="28"/>
          <w:szCs w:val="28"/>
        </w:rPr>
        <w:t>администрация</w:t>
      </w:r>
      <w:r w:rsidRPr="00161BCF">
        <w:rPr>
          <w:sz w:val="28"/>
          <w:szCs w:val="28"/>
        </w:rPr>
        <w:t>, осуществляется в следующем порядке:</w:t>
      </w:r>
    </w:p>
    <w:p w:rsidR="00161BCF" w:rsidRPr="006505E4" w:rsidRDefault="00161BCF" w:rsidP="006505E4">
      <w:pPr>
        <w:widowControl w:val="0"/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61BCF">
        <w:rPr>
          <w:sz w:val="28"/>
          <w:szCs w:val="28"/>
        </w:rPr>
        <w:t xml:space="preserve">3.1. Получение кредитов от кредитных организаций бюджетами </w:t>
      </w:r>
      <w:r w:rsidR="006505E4">
        <w:rPr>
          <w:sz w:val="28"/>
          <w:szCs w:val="28"/>
        </w:rPr>
        <w:t>муниципальных районов</w:t>
      </w:r>
      <w:r w:rsidRPr="00161BCF">
        <w:rPr>
          <w:sz w:val="28"/>
          <w:szCs w:val="28"/>
        </w:rPr>
        <w:t xml:space="preserve"> в валюте Российской Федерации:</w:t>
      </w:r>
    </w:p>
    <w:p w:rsidR="00161BCF" w:rsidRPr="00161BCF" w:rsidRDefault="00161BCF" w:rsidP="00161B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61BCF">
        <w:rPr>
          <w:sz w:val="28"/>
          <w:szCs w:val="28"/>
        </w:rPr>
        <w:t>а) используется метод прямого счета;</w:t>
      </w:r>
    </w:p>
    <w:p w:rsidR="00161BCF" w:rsidRPr="00161BCF" w:rsidRDefault="00161BCF" w:rsidP="00161B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61BCF">
        <w:rPr>
          <w:sz w:val="28"/>
          <w:szCs w:val="28"/>
        </w:rPr>
        <w:t>б) при расчете прогнозного объема поступлений учитываются:</w:t>
      </w:r>
    </w:p>
    <w:p w:rsidR="00161BCF" w:rsidRPr="00161BCF" w:rsidRDefault="00161BCF" w:rsidP="00161B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61BCF">
        <w:rPr>
          <w:sz w:val="28"/>
          <w:szCs w:val="28"/>
        </w:rPr>
        <w:lastRenderedPageBreak/>
        <w:t>направления долговой политики на очередной финансовый год и на плановый период;</w:t>
      </w:r>
    </w:p>
    <w:p w:rsidR="00161BCF" w:rsidRPr="00161BCF" w:rsidRDefault="00161BCF" w:rsidP="00161B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61BCF">
        <w:rPr>
          <w:sz w:val="28"/>
          <w:szCs w:val="28"/>
        </w:rPr>
        <w:t>прогнозируемый объем дефицита (профицита) бюджета</w:t>
      </w:r>
      <w:r w:rsidR="002625D0">
        <w:rPr>
          <w:sz w:val="28"/>
          <w:szCs w:val="28"/>
        </w:rPr>
        <w:t xml:space="preserve"> поселения</w:t>
      </w:r>
      <w:r w:rsidRPr="00161BCF">
        <w:rPr>
          <w:sz w:val="28"/>
          <w:szCs w:val="28"/>
        </w:rPr>
        <w:t xml:space="preserve"> и (или) объем </w:t>
      </w:r>
      <w:r w:rsidR="006505E4">
        <w:rPr>
          <w:sz w:val="28"/>
          <w:szCs w:val="28"/>
        </w:rPr>
        <w:t>муниципальных</w:t>
      </w:r>
      <w:r w:rsidRPr="00161BCF">
        <w:rPr>
          <w:sz w:val="28"/>
          <w:szCs w:val="28"/>
        </w:rPr>
        <w:t xml:space="preserve"> заимствований, подлежащих погашению, в соответствующем финансовом году;</w:t>
      </w:r>
    </w:p>
    <w:p w:rsidR="00161BCF" w:rsidRPr="00161BCF" w:rsidRDefault="00161BCF" w:rsidP="00161B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54B62">
        <w:rPr>
          <w:sz w:val="28"/>
          <w:szCs w:val="28"/>
        </w:rPr>
        <w:t>конъюнктура рынка кредитования;</w:t>
      </w:r>
    </w:p>
    <w:p w:rsidR="00161BCF" w:rsidRPr="00161BCF" w:rsidRDefault="00161BCF" w:rsidP="00161B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61BCF">
        <w:rPr>
          <w:sz w:val="28"/>
          <w:szCs w:val="28"/>
        </w:rPr>
        <w:t xml:space="preserve">действующие </w:t>
      </w:r>
      <w:r w:rsidR="00054B62">
        <w:rPr>
          <w:sz w:val="28"/>
          <w:szCs w:val="28"/>
        </w:rPr>
        <w:t>муниципальные</w:t>
      </w:r>
      <w:r w:rsidRPr="00161BCF">
        <w:rPr>
          <w:sz w:val="28"/>
          <w:szCs w:val="28"/>
        </w:rPr>
        <w:t xml:space="preserve"> контракты о получении кредитов от кредитных организаций;</w:t>
      </w:r>
    </w:p>
    <w:p w:rsidR="00161BCF" w:rsidRPr="00161BCF" w:rsidRDefault="00161BCF" w:rsidP="00161B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61BCF">
        <w:rPr>
          <w:sz w:val="28"/>
          <w:szCs w:val="28"/>
        </w:rPr>
        <w:t xml:space="preserve">планируемые к заключению </w:t>
      </w:r>
      <w:r w:rsidR="00054B62">
        <w:rPr>
          <w:sz w:val="28"/>
          <w:szCs w:val="28"/>
        </w:rPr>
        <w:t>муниципальные</w:t>
      </w:r>
      <w:r w:rsidRPr="00161BCF">
        <w:rPr>
          <w:sz w:val="28"/>
          <w:szCs w:val="28"/>
        </w:rPr>
        <w:t xml:space="preserve"> контракты о получении кредитов от кредитных организаций;</w:t>
      </w:r>
    </w:p>
    <w:p w:rsidR="00161BCF" w:rsidRPr="00161BCF" w:rsidRDefault="00161BCF" w:rsidP="00161B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61BCF">
        <w:rPr>
          <w:sz w:val="28"/>
          <w:szCs w:val="28"/>
        </w:rPr>
        <w:t xml:space="preserve">оценка влияния проводимых заимствований на </w:t>
      </w:r>
      <w:r w:rsidR="00054B62">
        <w:rPr>
          <w:sz w:val="28"/>
          <w:szCs w:val="28"/>
        </w:rPr>
        <w:t>муниципальный</w:t>
      </w:r>
      <w:r w:rsidRPr="00161BCF">
        <w:rPr>
          <w:sz w:val="28"/>
          <w:szCs w:val="28"/>
        </w:rPr>
        <w:t xml:space="preserve"> долг;</w:t>
      </w:r>
    </w:p>
    <w:p w:rsidR="00161BCF" w:rsidRPr="00161BCF" w:rsidRDefault="00161BCF" w:rsidP="00161B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61BCF">
        <w:rPr>
          <w:sz w:val="28"/>
          <w:szCs w:val="28"/>
        </w:rPr>
        <w:t>в) формула расчета:</w:t>
      </w:r>
    </w:p>
    <w:p w:rsidR="00161BCF" w:rsidRPr="00161BCF" w:rsidRDefault="00161BCF" w:rsidP="00161BCF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</w:p>
    <w:p w:rsidR="00161BCF" w:rsidRPr="00161BCF" w:rsidRDefault="00161BCF" w:rsidP="00161B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61BCF">
        <w:rPr>
          <w:sz w:val="28"/>
          <w:szCs w:val="28"/>
        </w:rPr>
        <w:t>Пк = Опз + Од(-Оп) – Ии, где:</w:t>
      </w:r>
    </w:p>
    <w:p w:rsidR="00161BCF" w:rsidRPr="00161BCF" w:rsidRDefault="00161BCF" w:rsidP="00161BCF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</w:p>
    <w:p w:rsidR="00161BCF" w:rsidRPr="00161BCF" w:rsidRDefault="00161BCF" w:rsidP="00161B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61BCF">
        <w:rPr>
          <w:sz w:val="28"/>
          <w:szCs w:val="28"/>
        </w:rPr>
        <w:t>Пк – прогнозируемый объем поступлений кредитов от кредитных организаций в соответствующем финансовом году;</w:t>
      </w:r>
    </w:p>
    <w:p w:rsidR="00161BCF" w:rsidRPr="00161BCF" w:rsidRDefault="00161BCF" w:rsidP="00161B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61BCF">
        <w:rPr>
          <w:sz w:val="28"/>
          <w:szCs w:val="28"/>
        </w:rPr>
        <w:t xml:space="preserve">Опз – объем </w:t>
      </w:r>
      <w:r w:rsidR="00054B62">
        <w:rPr>
          <w:sz w:val="28"/>
          <w:szCs w:val="28"/>
        </w:rPr>
        <w:t>муниципальных</w:t>
      </w:r>
      <w:r w:rsidRPr="00161BCF">
        <w:rPr>
          <w:sz w:val="28"/>
          <w:szCs w:val="28"/>
        </w:rPr>
        <w:t xml:space="preserve"> заимствований, подлежащих погашению в соответствующем финансовом году;</w:t>
      </w:r>
    </w:p>
    <w:p w:rsidR="00161BCF" w:rsidRPr="00161BCF" w:rsidRDefault="00161BCF" w:rsidP="00161B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61BCF">
        <w:rPr>
          <w:sz w:val="28"/>
          <w:szCs w:val="28"/>
        </w:rPr>
        <w:t>Од (Оп) – прогнозируемый объем дефицита (профицита) бюджета</w:t>
      </w:r>
      <w:r w:rsidR="002625D0">
        <w:rPr>
          <w:sz w:val="28"/>
          <w:szCs w:val="28"/>
        </w:rPr>
        <w:t xml:space="preserve"> поселения</w:t>
      </w:r>
      <w:r w:rsidRPr="00161BCF">
        <w:rPr>
          <w:sz w:val="28"/>
          <w:szCs w:val="28"/>
        </w:rPr>
        <w:t xml:space="preserve"> в соответствующем финансовом году;</w:t>
      </w:r>
    </w:p>
    <w:p w:rsidR="00161BCF" w:rsidRPr="00161BCF" w:rsidRDefault="00161BCF" w:rsidP="00161B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61BCF">
        <w:rPr>
          <w:sz w:val="28"/>
          <w:szCs w:val="28"/>
        </w:rPr>
        <w:t>Ии – прогнозируемый суммарный объем иных источников внутреннего финансирования дефицита бюджета</w:t>
      </w:r>
      <w:r w:rsidR="002625D0">
        <w:rPr>
          <w:sz w:val="28"/>
          <w:szCs w:val="28"/>
        </w:rPr>
        <w:t xml:space="preserve"> поселения</w:t>
      </w:r>
      <w:r w:rsidRPr="00161BCF">
        <w:rPr>
          <w:sz w:val="28"/>
          <w:szCs w:val="28"/>
        </w:rPr>
        <w:t xml:space="preserve"> в </w:t>
      </w:r>
      <w:r w:rsidR="00054B62">
        <w:rPr>
          <w:sz w:val="28"/>
          <w:szCs w:val="28"/>
        </w:rPr>
        <w:t>соответствующем финансовом году.</w:t>
      </w:r>
    </w:p>
    <w:p w:rsidR="00161BCF" w:rsidRPr="00161BCF" w:rsidRDefault="00161BCF" w:rsidP="00161B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61BCF">
        <w:rPr>
          <w:sz w:val="28"/>
          <w:szCs w:val="28"/>
        </w:rPr>
        <w:t xml:space="preserve">Рассчитанный прогноз объема поступлений кредитов от кредитных организаций уточняется согласно распределению на соответствующий финансовый год бюджетных кредитов из </w:t>
      </w:r>
      <w:r w:rsidR="001F730A">
        <w:rPr>
          <w:sz w:val="28"/>
          <w:szCs w:val="28"/>
        </w:rPr>
        <w:t>краевого</w:t>
      </w:r>
      <w:r w:rsidRPr="00161BCF">
        <w:rPr>
          <w:sz w:val="28"/>
          <w:szCs w:val="28"/>
        </w:rPr>
        <w:t xml:space="preserve"> бюджета бюджетам </w:t>
      </w:r>
      <w:r w:rsidR="001F730A">
        <w:rPr>
          <w:sz w:val="28"/>
          <w:szCs w:val="28"/>
        </w:rPr>
        <w:t>муниципальных образований Краснодарского края</w:t>
      </w:r>
      <w:r w:rsidRPr="00161BCF">
        <w:rPr>
          <w:sz w:val="28"/>
          <w:szCs w:val="28"/>
        </w:rPr>
        <w:t xml:space="preserve"> путем его уменьшения на сумму распределенных </w:t>
      </w:r>
      <w:r w:rsidR="00E8148D">
        <w:rPr>
          <w:sz w:val="28"/>
          <w:szCs w:val="28"/>
        </w:rPr>
        <w:t>Гривенского</w:t>
      </w:r>
      <w:r w:rsidR="002625D0">
        <w:rPr>
          <w:sz w:val="28"/>
          <w:szCs w:val="28"/>
        </w:rPr>
        <w:t xml:space="preserve"> сельскому поселению Калининского</w:t>
      </w:r>
      <w:r w:rsidR="001F730A">
        <w:rPr>
          <w:sz w:val="28"/>
          <w:szCs w:val="28"/>
        </w:rPr>
        <w:t xml:space="preserve"> район</w:t>
      </w:r>
      <w:r w:rsidR="002625D0">
        <w:rPr>
          <w:sz w:val="28"/>
          <w:szCs w:val="28"/>
        </w:rPr>
        <w:t>а</w:t>
      </w:r>
      <w:r w:rsidR="001F730A">
        <w:rPr>
          <w:sz w:val="28"/>
          <w:szCs w:val="28"/>
        </w:rPr>
        <w:t xml:space="preserve"> </w:t>
      </w:r>
      <w:r w:rsidRPr="00161BCF">
        <w:rPr>
          <w:sz w:val="28"/>
          <w:szCs w:val="28"/>
        </w:rPr>
        <w:t>бюджетных кредитов.</w:t>
      </w:r>
    </w:p>
    <w:p w:rsidR="00161BCF" w:rsidRPr="00161BCF" w:rsidRDefault="00161BCF" w:rsidP="00161B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61BCF">
        <w:rPr>
          <w:sz w:val="28"/>
          <w:szCs w:val="28"/>
        </w:rPr>
        <w:t>В расчет объема поступлений от коммерческих заимствований в соответствующем финансовом году не включаются объемы возможных оборотов по банковским кредитам в форме возобновляемых кредитных линий, по которым объем привлечения равен объему погашения в течение соответствующего финансового года.</w:t>
      </w:r>
    </w:p>
    <w:p w:rsidR="00161BCF" w:rsidRPr="00161BCF" w:rsidRDefault="00161BCF" w:rsidP="00161B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61BCF">
        <w:rPr>
          <w:sz w:val="28"/>
          <w:szCs w:val="28"/>
        </w:rPr>
        <w:t>3.</w:t>
      </w:r>
      <w:r w:rsidR="001F730A">
        <w:rPr>
          <w:sz w:val="28"/>
          <w:szCs w:val="28"/>
        </w:rPr>
        <w:t>2</w:t>
      </w:r>
      <w:r w:rsidRPr="00161BCF">
        <w:rPr>
          <w:sz w:val="28"/>
          <w:szCs w:val="28"/>
        </w:rPr>
        <w:t xml:space="preserve">. Получение кредитов от других бюджетов бюджетной системы Российской Федерации бюджетами </w:t>
      </w:r>
      <w:r w:rsidR="001F730A">
        <w:rPr>
          <w:sz w:val="28"/>
          <w:szCs w:val="28"/>
        </w:rPr>
        <w:t>муниципальных районов</w:t>
      </w:r>
      <w:r w:rsidRPr="00161BCF">
        <w:rPr>
          <w:sz w:val="28"/>
          <w:szCs w:val="28"/>
        </w:rPr>
        <w:t xml:space="preserve"> в валюте Российской Федерации:</w:t>
      </w:r>
    </w:p>
    <w:p w:rsidR="00161BCF" w:rsidRPr="00161BCF" w:rsidRDefault="00161BCF" w:rsidP="00161B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61BCF">
        <w:rPr>
          <w:sz w:val="28"/>
          <w:szCs w:val="28"/>
        </w:rPr>
        <w:t>а) используется метод прямого счета;</w:t>
      </w:r>
    </w:p>
    <w:p w:rsidR="00161BCF" w:rsidRPr="00161BCF" w:rsidRDefault="00161BCF" w:rsidP="00161B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61BCF">
        <w:rPr>
          <w:sz w:val="28"/>
          <w:szCs w:val="28"/>
        </w:rPr>
        <w:t>б) при расчете прогнозного объема поступлений учитываются:</w:t>
      </w:r>
    </w:p>
    <w:p w:rsidR="00161BCF" w:rsidRPr="00161BCF" w:rsidRDefault="00161BCF" w:rsidP="00161B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61BCF">
        <w:rPr>
          <w:sz w:val="28"/>
          <w:szCs w:val="28"/>
        </w:rPr>
        <w:t>направления долговой политики на очередной финансовый год и на плановый период;</w:t>
      </w:r>
    </w:p>
    <w:p w:rsidR="00161BCF" w:rsidRPr="00161BCF" w:rsidRDefault="00161BCF" w:rsidP="00161B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61BCF">
        <w:rPr>
          <w:sz w:val="28"/>
          <w:szCs w:val="28"/>
        </w:rPr>
        <w:t>действующие соглашения о получении бюджетных кредитов;</w:t>
      </w:r>
    </w:p>
    <w:p w:rsidR="00161BCF" w:rsidRPr="00161BCF" w:rsidRDefault="00161BCF" w:rsidP="00161B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61BCF">
        <w:rPr>
          <w:sz w:val="28"/>
          <w:szCs w:val="28"/>
        </w:rPr>
        <w:t xml:space="preserve">планируемые к заключению соглашения о получении бюджетных кредитов, в том числе из </w:t>
      </w:r>
      <w:r w:rsidR="001F730A">
        <w:rPr>
          <w:sz w:val="28"/>
          <w:szCs w:val="28"/>
        </w:rPr>
        <w:t xml:space="preserve">краевого </w:t>
      </w:r>
      <w:r w:rsidRPr="00161BCF">
        <w:rPr>
          <w:sz w:val="28"/>
          <w:szCs w:val="28"/>
        </w:rPr>
        <w:t xml:space="preserve">бюджета в соответствующем финансовом </w:t>
      </w:r>
      <w:r w:rsidRPr="00161BCF">
        <w:rPr>
          <w:sz w:val="28"/>
          <w:szCs w:val="28"/>
        </w:rPr>
        <w:lastRenderedPageBreak/>
        <w:t>году;</w:t>
      </w:r>
    </w:p>
    <w:p w:rsidR="00161BCF" w:rsidRPr="00161BCF" w:rsidRDefault="00161BCF" w:rsidP="00161B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61BCF">
        <w:rPr>
          <w:sz w:val="28"/>
          <w:szCs w:val="28"/>
        </w:rPr>
        <w:t xml:space="preserve">оценка влияния проводимых заимствований на </w:t>
      </w:r>
      <w:r w:rsidR="001F730A">
        <w:rPr>
          <w:sz w:val="28"/>
          <w:szCs w:val="28"/>
        </w:rPr>
        <w:t>муниципальный</w:t>
      </w:r>
      <w:r w:rsidRPr="00161BCF">
        <w:rPr>
          <w:sz w:val="28"/>
          <w:szCs w:val="28"/>
        </w:rPr>
        <w:t xml:space="preserve"> долг;</w:t>
      </w:r>
    </w:p>
    <w:p w:rsidR="00161BCF" w:rsidRPr="00161BCF" w:rsidRDefault="00161BCF" w:rsidP="00161B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61BCF">
        <w:rPr>
          <w:sz w:val="28"/>
          <w:szCs w:val="28"/>
        </w:rPr>
        <w:t>в) формула расчета:</w:t>
      </w:r>
    </w:p>
    <w:p w:rsidR="00161BCF" w:rsidRPr="00161BCF" w:rsidRDefault="00161BCF" w:rsidP="00161BCF">
      <w:pPr>
        <w:widowControl w:val="0"/>
        <w:autoSpaceDE w:val="0"/>
        <w:autoSpaceDN w:val="0"/>
        <w:ind w:firstLine="709"/>
        <w:jc w:val="both"/>
        <w:rPr>
          <w:sz w:val="10"/>
          <w:szCs w:val="10"/>
        </w:rPr>
      </w:pPr>
    </w:p>
    <w:p w:rsidR="00161BCF" w:rsidRPr="00161BCF" w:rsidRDefault="00161BCF" w:rsidP="00161B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61BCF">
        <w:rPr>
          <w:sz w:val="28"/>
          <w:szCs w:val="28"/>
        </w:rPr>
        <w:t>Пб = Ол + Об, где:</w:t>
      </w:r>
    </w:p>
    <w:p w:rsidR="00161BCF" w:rsidRPr="00161BCF" w:rsidRDefault="00161BCF" w:rsidP="00161BCF">
      <w:pPr>
        <w:widowControl w:val="0"/>
        <w:autoSpaceDE w:val="0"/>
        <w:autoSpaceDN w:val="0"/>
        <w:ind w:firstLine="709"/>
        <w:jc w:val="both"/>
        <w:rPr>
          <w:sz w:val="10"/>
          <w:szCs w:val="10"/>
        </w:rPr>
      </w:pPr>
    </w:p>
    <w:p w:rsidR="00161BCF" w:rsidRPr="00161BCF" w:rsidRDefault="00161BCF" w:rsidP="00161B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61BCF">
        <w:rPr>
          <w:sz w:val="28"/>
          <w:szCs w:val="28"/>
        </w:rPr>
        <w:t>Пб – прогнозируемый объем поступлений бюджетных кредитов в соответствующем финансовом году;</w:t>
      </w:r>
    </w:p>
    <w:p w:rsidR="00161BCF" w:rsidRPr="00161BCF" w:rsidRDefault="00161BCF" w:rsidP="00161B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61BCF">
        <w:rPr>
          <w:sz w:val="28"/>
          <w:szCs w:val="28"/>
        </w:rPr>
        <w:t>Ол – прогнозируемый объем бюджетного кредита на пополнение остатков средств на счетах в очередном финансовом году;</w:t>
      </w:r>
    </w:p>
    <w:p w:rsidR="00161BCF" w:rsidRPr="00161BCF" w:rsidRDefault="00161BCF" w:rsidP="00161B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61BCF">
        <w:rPr>
          <w:sz w:val="28"/>
          <w:szCs w:val="28"/>
        </w:rPr>
        <w:t xml:space="preserve">Об – прогнозируемый объем бюджетного кредита из </w:t>
      </w:r>
      <w:r w:rsidR="00531DFC">
        <w:rPr>
          <w:sz w:val="28"/>
          <w:szCs w:val="28"/>
        </w:rPr>
        <w:t>краевого</w:t>
      </w:r>
      <w:r w:rsidRPr="00161BCF">
        <w:rPr>
          <w:sz w:val="28"/>
          <w:szCs w:val="28"/>
        </w:rPr>
        <w:t xml:space="preserve"> бюджета в соответствующем финансовом году.</w:t>
      </w:r>
    </w:p>
    <w:p w:rsidR="00161BCF" w:rsidRPr="00161BCF" w:rsidRDefault="00161BCF" w:rsidP="00161B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61BCF">
        <w:rPr>
          <w:sz w:val="28"/>
          <w:szCs w:val="28"/>
        </w:rPr>
        <w:t>Прогнозируемый объем бюджетного кредита на пополнение остатков средств на счетах в очередном финансовом году рассчитывается по следующей формуле:</w:t>
      </w:r>
    </w:p>
    <w:p w:rsidR="00161BCF" w:rsidRPr="00161BCF" w:rsidRDefault="00161BCF" w:rsidP="00161BCF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161BCF" w:rsidRPr="00161BCF" w:rsidRDefault="00081319" w:rsidP="00161B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Ол = (Др</w:t>
      </w:r>
      <w:r w:rsidR="00161BCF" w:rsidRPr="00161BCF">
        <w:rPr>
          <w:sz w:val="28"/>
          <w:szCs w:val="28"/>
        </w:rPr>
        <w:t>б – Сб – Св – Имтб)/12, где:</w:t>
      </w:r>
    </w:p>
    <w:p w:rsidR="00161BCF" w:rsidRPr="00161BCF" w:rsidRDefault="00161BCF" w:rsidP="00161BCF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161BCF" w:rsidRPr="00161BCF" w:rsidRDefault="00161BCF" w:rsidP="00161B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61BCF">
        <w:rPr>
          <w:sz w:val="28"/>
          <w:szCs w:val="28"/>
        </w:rPr>
        <w:t>Д</w:t>
      </w:r>
      <w:r w:rsidR="00081319">
        <w:rPr>
          <w:sz w:val="28"/>
          <w:szCs w:val="28"/>
        </w:rPr>
        <w:t>р</w:t>
      </w:r>
      <w:r w:rsidRPr="00161BCF">
        <w:rPr>
          <w:sz w:val="28"/>
          <w:szCs w:val="28"/>
        </w:rPr>
        <w:t>б – прогнозируемый общий объем доходов бюджета на очередной финансовый год;</w:t>
      </w:r>
    </w:p>
    <w:p w:rsidR="00161BCF" w:rsidRPr="00161BCF" w:rsidRDefault="00161BCF" w:rsidP="00161B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61BCF">
        <w:rPr>
          <w:sz w:val="28"/>
          <w:szCs w:val="28"/>
        </w:rPr>
        <w:t xml:space="preserve">Сб – прогнозируемый объем поступлений субсидий из </w:t>
      </w:r>
      <w:r w:rsidR="00081319">
        <w:rPr>
          <w:sz w:val="28"/>
          <w:szCs w:val="28"/>
        </w:rPr>
        <w:t xml:space="preserve">краевого и </w:t>
      </w:r>
      <w:r w:rsidRPr="00161BCF">
        <w:rPr>
          <w:sz w:val="28"/>
          <w:szCs w:val="28"/>
        </w:rPr>
        <w:t>федерального бюджет</w:t>
      </w:r>
      <w:r w:rsidR="00081319">
        <w:rPr>
          <w:sz w:val="28"/>
          <w:szCs w:val="28"/>
        </w:rPr>
        <w:t>ов</w:t>
      </w:r>
      <w:r w:rsidRPr="00161BCF">
        <w:rPr>
          <w:sz w:val="28"/>
          <w:szCs w:val="28"/>
        </w:rPr>
        <w:t xml:space="preserve"> на очередной финансовый год; </w:t>
      </w:r>
    </w:p>
    <w:p w:rsidR="00161BCF" w:rsidRPr="00161BCF" w:rsidRDefault="00161BCF" w:rsidP="00161B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61BCF">
        <w:rPr>
          <w:sz w:val="28"/>
          <w:szCs w:val="28"/>
        </w:rPr>
        <w:t xml:space="preserve">Св – прогнозируемый объем поступлений субвенций из </w:t>
      </w:r>
      <w:r w:rsidR="00081319">
        <w:rPr>
          <w:sz w:val="28"/>
          <w:szCs w:val="28"/>
        </w:rPr>
        <w:t xml:space="preserve">краевого и </w:t>
      </w:r>
      <w:r w:rsidRPr="00161BCF">
        <w:rPr>
          <w:sz w:val="28"/>
          <w:szCs w:val="28"/>
        </w:rPr>
        <w:t>федерального бюджет</w:t>
      </w:r>
      <w:r w:rsidR="00081319">
        <w:rPr>
          <w:sz w:val="28"/>
          <w:szCs w:val="28"/>
        </w:rPr>
        <w:t>ов</w:t>
      </w:r>
      <w:r w:rsidRPr="00161BCF">
        <w:rPr>
          <w:sz w:val="28"/>
          <w:szCs w:val="28"/>
        </w:rPr>
        <w:t xml:space="preserve"> на очередной финансовый год; </w:t>
      </w:r>
    </w:p>
    <w:p w:rsidR="00161BCF" w:rsidRPr="00161BCF" w:rsidRDefault="00161BCF" w:rsidP="00161B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61BCF">
        <w:rPr>
          <w:sz w:val="28"/>
          <w:szCs w:val="28"/>
        </w:rPr>
        <w:t xml:space="preserve">Имтб – прогнозируемый объем поступлений иных межбюджетных трансфертов, имеющих целевое назначение, из </w:t>
      </w:r>
      <w:r w:rsidR="00081319">
        <w:rPr>
          <w:sz w:val="28"/>
          <w:szCs w:val="28"/>
        </w:rPr>
        <w:t xml:space="preserve">краевого, </w:t>
      </w:r>
      <w:r w:rsidRPr="00161BCF">
        <w:rPr>
          <w:sz w:val="28"/>
          <w:szCs w:val="28"/>
        </w:rPr>
        <w:t>федерального</w:t>
      </w:r>
      <w:r w:rsidR="00081319">
        <w:rPr>
          <w:sz w:val="28"/>
          <w:szCs w:val="28"/>
        </w:rPr>
        <w:t xml:space="preserve"> и местных </w:t>
      </w:r>
      <w:r w:rsidRPr="00161BCF">
        <w:rPr>
          <w:sz w:val="28"/>
          <w:szCs w:val="28"/>
        </w:rPr>
        <w:t>бюджет</w:t>
      </w:r>
      <w:r w:rsidR="00081319">
        <w:rPr>
          <w:sz w:val="28"/>
          <w:szCs w:val="28"/>
        </w:rPr>
        <w:t>ов</w:t>
      </w:r>
      <w:r w:rsidRPr="00161BCF">
        <w:rPr>
          <w:sz w:val="28"/>
          <w:szCs w:val="28"/>
        </w:rPr>
        <w:t xml:space="preserve"> на очередной финансовый год.</w:t>
      </w:r>
    </w:p>
    <w:p w:rsidR="00161BCF" w:rsidRPr="00161BCF" w:rsidRDefault="00161BCF" w:rsidP="00161B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61BCF">
        <w:rPr>
          <w:sz w:val="28"/>
          <w:szCs w:val="28"/>
        </w:rPr>
        <w:t>Рассчитанный прогноз объема поступлений бюджетного кредита на пополнение остатков средств на счетах в очередном финансовом году может уточняться исходя из прогнозируемой оценки недостаточности на едином счете бюджета денежных средств, необходимых для осуществления кассовых выплат из бюджета.</w:t>
      </w:r>
    </w:p>
    <w:p w:rsidR="00E21F7C" w:rsidRDefault="00E21F7C" w:rsidP="00161BCF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</w:p>
    <w:p w:rsidR="00E7011A" w:rsidRDefault="00E7011A" w:rsidP="00161BCF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</w:p>
    <w:p w:rsidR="00E21F7C" w:rsidRPr="00161BCF" w:rsidRDefault="00E21F7C" w:rsidP="00161BCF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</w:p>
    <w:p w:rsidR="002625D0" w:rsidRDefault="002625D0" w:rsidP="00E21F7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  отдела                    </w:t>
      </w:r>
    </w:p>
    <w:p w:rsidR="00294A56" w:rsidRDefault="00E21F7C" w:rsidP="00E21F7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294A56">
        <w:rPr>
          <w:sz w:val="28"/>
          <w:szCs w:val="28"/>
        </w:rPr>
        <w:t xml:space="preserve"> </w:t>
      </w:r>
      <w:r w:rsidR="00E8148D">
        <w:rPr>
          <w:sz w:val="28"/>
          <w:szCs w:val="28"/>
        </w:rPr>
        <w:t>Гривенского</w:t>
      </w:r>
    </w:p>
    <w:p w:rsidR="00E21F7C" w:rsidRDefault="002625D0" w:rsidP="005B710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Калининского района                               </w:t>
      </w:r>
      <w:r w:rsidR="00E8148D">
        <w:rPr>
          <w:sz w:val="28"/>
          <w:szCs w:val="28"/>
        </w:rPr>
        <w:t xml:space="preserve">                Е.Б.Бакай</w:t>
      </w:r>
    </w:p>
    <w:p w:rsidR="00CE07D5" w:rsidRPr="00294A56" w:rsidRDefault="00CE07D5">
      <w:pPr>
        <w:rPr>
          <w:sz w:val="28"/>
          <w:szCs w:val="28"/>
        </w:rPr>
      </w:pPr>
    </w:p>
    <w:sectPr w:rsidR="00CE07D5" w:rsidRPr="00294A56" w:rsidSect="008D754C">
      <w:headerReference w:type="default" r:id="rId7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60D" w:rsidRDefault="00ED460D" w:rsidP="00294A56">
      <w:r>
        <w:separator/>
      </w:r>
    </w:p>
  </w:endnote>
  <w:endnote w:type="continuationSeparator" w:id="0">
    <w:p w:rsidR="00ED460D" w:rsidRDefault="00ED460D" w:rsidP="00294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60D" w:rsidRDefault="00ED460D" w:rsidP="00294A56">
      <w:r>
        <w:separator/>
      </w:r>
    </w:p>
  </w:footnote>
  <w:footnote w:type="continuationSeparator" w:id="0">
    <w:p w:rsidR="00ED460D" w:rsidRDefault="00ED460D" w:rsidP="00294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0678415"/>
      <w:docPartObj>
        <w:docPartGallery w:val="Page Numbers (Top of Page)"/>
        <w:docPartUnique/>
      </w:docPartObj>
    </w:sdtPr>
    <w:sdtEndPr/>
    <w:sdtContent>
      <w:p w:rsidR="00A862A3" w:rsidRDefault="00BA2DF8">
        <w:pPr>
          <w:pStyle w:val="a5"/>
          <w:jc w:val="center"/>
        </w:pPr>
        <w:r>
          <w:fldChar w:fldCharType="begin"/>
        </w:r>
        <w:r w:rsidR="00A862A3">
          <w:instrText>PAGE   \* MERGEFORMAT</w:instrText>
        </w:r>
        <w:r>
          <w:fldChar w:fldCharType="separate"/>
        </w:r>
        <w:r w:rsidR="001F2548">
          <w:rPr>
            <w:noProof/>
          </w:rPr>
          <w:t>3</w:t>
        </w:r>
        <w:r>
          <w:fldChar w:fldCharType="end"/>
        </w:r>
      </w:p>
    </w:sdtContent>
  </w:sdt>
  <w:p w:rsidR="00A862A3" w:rsidRDefault="00A862A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F3FEA"/>
    <w:multiLevelType w:val="hybridMultilevel"/>
    <w:tmpl w:val="D97C18F4"/>
    <w:lvl w:ilvl="0" w:tplc="5044AD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01295B"/>
    <w:multiLevelType w:val="hybridMultilevel"/>
    <w:tmpl w:val="E36671B8"/>
    <w:lvl w:ilvl="0" w:tplc="9432C15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6EB1554"/>
    <w:multiLevelType w:val="hybridMultilevel"/>
    <w:tmpl w:val="6980BC1C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234F"/>
    <w:rsid w:val="00011C56"/>
    <w:rsid w:val="0002774B"/>
    <w:rsid w:val="00041A9E"/>
    <w:rsid w:val="00042962"/>
    <w:rsid w:val="00054B62"/>
    <w:rsid w:val="000623A8"/>
    <w:rsid w:val="00081319"/>
    <w:rsid w:val="000901E5"/>
    <w:rsid w:val="000B42A7"/>
    <w:rsid w:val="000C755B"/>
    <w:rsid w:val="000C7F3A"/>
    <w:rsid w:val="000D7474"/>
    <w:rsid w:val="000F4ED8"/>
    <w:rsid w:val="00107C9A"/>
    <w:rsid w:val="00161BCF"/>
    <w:rsid w:val="001978BF"/>
    <w:rsid w:val="00197E77"/>
    <w:rsid w:val="001D71B8"/>
    <w:rsid w:val="001D7A32"/>
    <w:rsid w:val="001E63FF"/>
    <w:rsid w:val="001F2548"/>
    <w:rsid w:val="001F730A"/>
    <w:rsid w:val="002625D0"/>
    <w:rsid w:val="00270809"/>
    <w:rsid w:val="002847F8"/>
    <w:rsid w:val="0029260C"/>
    <w:rsid w:val="00294A56"/>
    <w:rsid w:val="002B00BF"/>
    <w:rsid w:val="002B1732"/>
    <w:rsid w:val="002E14C0"/>
    <w:rsid w:val="00315C04"/>
    <w:rsid w:val="00332EFF"/>
    <w:rsid w:val="00357539"/>
    <w:rsid w:val="003849A4"/>
    <w:rsid w:val="003A7548"/>
    <w:rsid w:val="003D5F26"/>
    <w:rsid w:val="003E5754"/>
    <w:rsid w:val="0042249C"/>
    <w:rsid w:val="004813A7"/>
    <w:rsid w:val="004831FD"/>
    <w:rsid w:val="004A24C5"/>
    <w:rsid w:val="004B2F23"/>
    <w:rsid w:val="004B7185"/>
    <w:rsid w:val="004D1CE9"/>
    <w:rsid w:val="004E411B"/>
    <w:rsid w:val="004F62D9"/>
    <w:rsid w:val="005202EB"/>
    <w:rsid w:val="00531DFC"/>
    <w:rsid w:val="00533F15"/>
    <w:rsid w:val="00547450"/>
    <w:rsid w:val="0058574C"/>
    <w:rsid w:val="005A5006"/>
    <w:rsid w:val="005B5A71"/>
    <w:rsid w:val="005B710F"/>
    <w:rsid w:val="006505E4"/>
    <w:rsid w:val="006B14B1"/>
    <w:rsid w:val="007342FC"/>
    <w:rsid w:val="0073777A"/>
    <w:rsid w:val="00795941"/>
    <w:rsid w:val="007D6843"/>
    <w:rsid w:val="007E38CF"/>
    <w:rsid w:val="00822B38"/>
    <w:rsid w:val="00833C15"/>
    <w:rsid w:val="00865E23"/>
    <w:rsid w:val="008A4F1D"/>
    <w:rsid w:val="008A7DC3"/>
    <w:rsid w:val="008D5E5E"/>
    <w:rsid w:val="008D754C"/>
    <w:rsid w:val="00900FA7"/>
    <w:rsid w:val="00910212"/>
    <w:rsid w:val="00995C52"/>
    <w:rsid w:val="009D7FD0"/>
    <w:rsid w:val="00A566A5"/>
    <w:rsid w:val="00A70D38"/>
    <w:rsid w:val="00A862A3"/>
    <w:rsid w:val="00A950F8"/>
    <w:rsid w:val="00BA2DF8"/>
    <w:rsid w:val="00BF115D"/>
    <w:rsid w:val="00C35ED9"/>
    <w:rsid w:val="00C717E8"/>
    <w:rsid w:val="00CD2A34"/>
    <w:rsid w:val="00CE07D5"/>
    <w:rsid w:val="00CF1835"/>
    <w:rsid w:val="00D118F9"/>
    <w:rsid w:val="00D65850"/>
    <w:rsid w:val="00D83404"/>
    <w:rsid w:val="00DE4A73"/>
    <w:rsid w:val="00E1234F"/>
    <w:rsid w:val="00E21F7C"/>
    <w:rsid w:val="00E32662"/>
    <w:rsid w:val="00E340B9"/>
    <w:rsid w:val="00E42C18"/>
    <w:rsid w:val="00E6108B"/>
    <w:rsid w:val="00E7011A"/>
    <w:rsid w:val="00E80E40"/>
    <w:rsid w:val="00E8130B"/>
    <w:rsid w:val="00E8148D"/>
    <w:rsid w:val="00EA2DE3"/>
    <w:rsid w:val="00EB2A53"/>
    <w:rsid w:val="00EC6D88"/>
    <w:rsid w:val="00ED460D"/>
    <w:rsid w:val="00F02488"/>
    <w:rsid w:val="00F63BE5"/>
    <w:rsid w:val="00FC1980"/>
    <w:rsid w:val="00FC4225"/>
    <w:rsid w:val="00FC4754"/>
    <w:rsid w:val="00FF2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6BBF1-481A-4E37-B24B-D12AEC688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294A56"/>
    <w:rPr>
      <w:rFonts w:ascii="Arial" w:hAnsi="Arial" w:cs="Arial"/>
      <w:lang w:val="pl-PL" w:eastAsia="pl-PL"/>
    </w:rPr>
  </w:style>
  <w:style w:type="character" w:customStyle="1" w:styleId="a4">
    <w:name w:val="Гипертекстовая ссылка"/>
    <w:uiPriority w:val="99"/>
    <w:rsid w:val="00294A56"/>
    <w:rPr>
      <w:rFonts w:cs="Times New Roman"/>
      <w:b w:val="0"/>
      <w:color w:val="106BBE"/>
    </w:rPr>
  </w:style>
  <w:style w:type="paragraph" w:styleId="a5">
    <w:name w:val="header"/>
    <w:basedOn w:val="a"/>
    <w:link w:val="a6"/>
    <w:uiPriority w:val="99"/>
    <w:unhideWhenUsed/>
    <w:rsid w:val="00294A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94A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94A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A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94A56"/>
    <w:pPr>
      <w:ind w:left="720"/>
      <w:contextualSpacing/>
    </w:pPr>
  </w:style>
  <w:style w:type="table" w:styleId="aa">
    <w:name w:val="Table Grid"/>
    <w:basedOn w:val="a1"/>
    <w:uiPriority w:val="59"/>
    <w:rsid w:val="0016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7011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701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3022</TotalTime>
  <Pages>1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doroshenko</dc:creator>
  <cp:keywords/>
  <dc:description/>
  <cp:lastModifiedBy>User</cp:lastModifiedBy>
  <cp:revision>24</cp:revision>
  <cp:lastPrinted>2016-09-28T05:21:00Z</cp:lastPrinted>
  <dcterms:created xsi:type="dcterms:W3CDTF">2015-07-10T11:29:00Z</dcterms:created>
  <dcterms:modified xsi:type="dcterms:W3CDTF">2016-09-29T08:17:00Z</dcterms:modified>
</cp:coreProperties>
</file>